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4A3A24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86B783A" wp14:editId="0DF014C0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FD28D7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صعصاع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كاطع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4A3A2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</w:t>
            </w:r>
            <w:r w:rsidR="004A3A2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الليباوي</w:t>
            </w:r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1"/>
        <w:gridCol w:w="2499"/>
      </w:tblGrid>
      <w:tr w:rsidR="005004F8" w:rsidRPr="004F7AE4" w:rsidTr="004A3A24">
        <w:trPr>
          <w:trHeight w:val="414"/>
        </w:trPr>
        <w:tc>
          <w:tcPr>
            <w:tcW w:w="9360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A57FB3" w:rsidP="006737C8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A57FB3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Pr="004F7AE4" w:rsidRDefault="005004F8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FD28D7" w:rsidRDefault="00391221" w:rsidP="003A11C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</w:rPr>
              <w:lastRenderedPageBreak/>
              <w:t>UoBPP</w:t>
            </w:r>
            <w:r w:rsidR="006F7484" w:rsidRPr="00FD28D7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-</w:t>
            </w:r>
            <w:r w:rsidR="00FD28D7" w:rsidRPr="00FD28D7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0</w:t>
            </w:r>
            <w:r w:rsidR="003A11C0" w:rsidRPr="00FD28D7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3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4A3A24" w:rsidRPr="005E1E6F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4A3A24" w:rsidRPr="00FD28D7" w:rsidRDefault="003A11C0" w:rsidP="00FD28D7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ضوابط </w:t>
            </w:r>
            <w:r w:rsid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تضمن عدم التمييز ضد الاناث (الطالبة) وامكانية تقديم المرأة</w:t>
            </w: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الى جميع البرامج الدراسية في الجامعة.</w:t>
            </w:r>
          </w:p>
        </w:tc>
        <w:tc>
          <w:tcPr>
            <w:tcW w:w="2499" w:type="dxa"/>
          </w:tcPr>
          <w:p w:rsidR="004A3A24" w:rsidRPr="005E1E6F" w:rsidRDefault="004A3A24" w:rsidP="00A52739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907D6A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FD28D7" w:rsidRDefault="007C2D64" w:rsidP="005E1E6F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 </w:t>
            </w:r>
            <w:r w:rsidR="00907D6A" w:rsidRPr="00FD28D7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FD28D7" w:rsidRDefault="005E1E6F" w:rsidP="005E1E6F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499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907D6A" w:rsidRPr="00FD28D7" w:rsidRDefault="00FD28D7" w:rsidP="00F61BEB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</w:rPr>
              <w:t>2021</w:t>
            </w:r>
          </w:p>
          <w:p w:rsidR="007C2D64" w:rsidRPr="00FD28D7" w:rsidRDefault="007C2D64" w:rsidP="005E1E6F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</w:p>
        </w:tc>
        <w:tc>
          <w:tcPr>
            <w:tcW w:w="2499" w:type="dxa"/>
          </w:tcPr>
          <w:p w:rsidR="00907D6A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7C2D64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7C2D64" w:rsidRPr="00FD28D7" w:rsidRDefault="00177BA6" w:rsidP="003A11C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تفعيل دور الجامعة في</w:t>
            </w:r>
            <w:r w:rsidR="007B1C1A"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</w:t>
            </w:r>
            <w:r w:rsidR="003A11C0"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تعزيز مشاركة المراة( الطالبة) وتسهيل تقديمها لجميع البرامج الدراسية والمنح البحثية</w:t>
            </w:r>
            <w:r w:rsidR="00F55BD6"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.</w:t>
            </w: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99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7C2D64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7C2D64" w:rsidRDefault="003A11C0" w:rsidP="00FD28D7">
            <w:pPr>
              <w:bidi/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</w:pP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</w:t>
            </w: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تفاقية القضاء على جميع أشكال التمييز ضد المرأة –سيداو-)التي صادق العراق على الانضمام أليها بموجب القانون رقم (66 لسنة 1986)مع تحفظه على بعض بنودها</w:t>
            </w:r>
            <w:r w:rsidR="004031C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.</w:t>
            </w:r>
          </w:p>
          <w:p w:rsidR="004031C4" w:rsidRPr="00FD28D7" w:rsidRDefault="004031C4" w:rsidP="004031C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2499" w:type="dxa"/>
          </w:tcPr>
          <w:p w:rsidR="007C2D64" w:rsidRPr="005E1E6F" w:rsidRDefault="005E1E6F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177BA6" w:rsidRPr="00FD28D7" w:rsidRDefault="00FD28D7" w:rsidP="00E651F3">
            <w:pPr>
              <w:bidi/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الطلبة المتقدمون للجامعة في كافة برامجها الدراسية</w:t>
            </w:r>
          </w:p>
        </w:tc>
        <w:tc>
          <w:tcPr>
            <w:tcW w:w="2499" w:type="dxa"/>
          </w:tcPr>
          <w:p w:rsidR="007C2D64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7C2D64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7C2D64" w:rsidRPr="004031C4" w:rsidRDefault="006625A2" w:rsidP="005E1E6F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4031C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رئيس جامعة بابل</w:t>
            </w:r>
          </w:p>
        </w:tc>
        <w:tc>
          <w:tcPr>
            <w:tcW w:w="2499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  <w:r w:rsidR="00584CB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على السياسة</w:t>
            </w:r>
          </w:p>
        </w:tc>
      </w:tr>
      <w:tr w:rsidR="00FD28D7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FD28D7" w:rsidRPr="00FD28D7" w:rsidRDefault="00FD28D7" w:rsidP="009E3FF5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الجهات المسؤولة وذات الصلة المسؤولة عن التنفيذ والإدارة</w:t>
            </w: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:</w:t>
            </w:r>
          </w:p>
          <w:p w:rsidR="00FD28D7" w:rsidRPr="00FD28D7" w:rsidRDefault="00FD28D7" w:rsidP="009E3FF5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  <w:p w:rsidR="00FD28D7" w:rsidRPr="00FD28D7" w:rsidRDefault="00FD28D7" w:rsidP="00FD28D7">
            <w:pPr>
              <w:pStyle w:val="a6"/>
              <w:numPr>
                <w:ilvl w:val="0"/>
                <w:numId w:val="13"/>
              </w:numPr>
              <w:bidi/>
              <w:ind w:left="471" w:hanging="360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رئيس الجامعة</w:t>
            </w: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FD28D7" w:rsidRPr="00FD28D7" w:rsidRDefault="00FD28D7" w:rsidP="00FD28D7">
            <w:pPr>
              <w:pStyle w:val="a6"/>
              <w:numPr>
                <w:ilvl w:val="0"/>
                <w:numId w:val="13"/>
              </w:numPr>
              <w:bidi/>
              <w:ind w:left="471" w:hanging="360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مساعد رئيس الجامعة للشؤون الادارية والمالية</w:t>
            </w: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FD28D7" w:rsidRPr="00FD28D7" w:rsidRDefault="00FD28D7" w:rsidP="00FD28D7">
            <w:pPr>
              <w:pStyle w:val="a6"/>
              <w:numPr>
                <w:ilvl w:val="0"/>
                <w:numId w:val="13"/>
              </w:numPr>
              <w:bidi/>
              <w:ind w:left="471" w:hanging="360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مساعد رئيس الجامعة للشؤون العلمية</w:t>
            </w: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 xml:space="preserve">. </w:t>
            </w:r>
          </w:p>
          <w:p w:rsidR="00FD28D7" w:rsidRPr="00FD28D7" w:rsidRDefault="00FD28D7" w:rsidP="00FD28D7">
            <w:pPr>
              <w:pStyle w:val="a6"/>
              <w:numPr>
                <w:ilvl w:val="0"/>
                <w:numId w:val="13"/>
              </w:numPr>
              <w:bidi/>
              <w:ind w:left="471" w:hanging="360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العمداء ومعاونيهم.</w:t>
            </w:r>
          </w:p>
          <w:p w:rsidR="00FD28D7" w:rsidRPr="00FD28D7" w:rsidRDefault="00FD28D7" w:rsidP="00FD28D7">
            <w:pPr>
              <w:pStyle w:val="a6"/>
              <w:numPr>
                <w:ilvl w:val="0"/>
                <w:numId w:val="13"/>
              </w:numPr>
              <w:bidi/>
              <w:ind w:left="471" w:hanging="360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رؤساء الاقسام العلمية</w:t>
            </w: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 xml:space="preserve">. </w:t>
            </w:r>
          </w:p>
          <w:p w:rsidR="00FD28D7" w:rsidRPr="00FD28D7" w:rsidRDefault="00FD28D7" w:rsidP="00FD28D7">
            <w:pPr>
              <w:pStyle w:val="a6"/>
              <w:numPr>
                <w:ilvl w:val="0"/>
                <w:numId w:val="13"/>
              </w:numPr>
              <w:bidi/>
              <w:ind w:left="471" w:hanging="360"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الهيئة التدريسية كافة</w:t>
            </w: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FD28D7" w:rsidRPr="00FD28D7" w:rsidRDefault="00FD28D7" w:rsidP="00FD28D7">
            <w:pPr>
              <w:pStyle w:val="a6"/>
              <w:numPr>
                <w:ilvl w:val="0"/>
                <w:numId w:val="13"/>
              </w:numPr>
              <w:bidi/>
              <w:ind w:left="471" w:hanging="360"/>
              <w:rPr>
                <w:rFonts w:asciiTheme="majorBidi" w:hAnsiTheme="majorBidi" w:cstheme="majorBidi" w:hint="cs"/>
                <w:color w:val="002060"/>
                <w:sz w:val="28"/>
                <w:szCs w:val="28"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التشكيلات الادارية في رئاسة الجامعة والكليات كافة.</w:t>
            </w:r>
          </w:p>
          <w:p w:rsidR="00FD28D7" w:rsidRPr="00FD28D7" w:rsidRDefault="00FD28D7" w:rsidP="00FD28D7">
            <w:pPr>
              <w:pStyle w:val="a6"/>
              <w:bidi/>
              <w:ind w:left="471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FD28D7" w:rsidRPr="005E1E6F" w:rsidRDefault="00FD28D7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 المسؤولة</w:t>
            </w: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عن التنفيذ</w:t>
            </w:r>
          </w:p>
        </w:tc>
      </w:tr>
      <w:tr w:rsidR="00FD28D7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FD28D7" w:rsidRPr="00FD28D7" w:rsidRDefault="00FD28D7" w:rsidP="009E3FF5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الإدارات أو المكاتب الرئيسية التي يجب إخطارها/ اشعارها بالسياسة بعد المصادقة والاعمام</w:t>
            </w: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:</w:t>
            </w:r>
          </w:p>
          <w:p w:rsidR="00FD28D7" w:rsidRPr="00FD28D7" w:rsidRDefault="00FD28D7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دوائر الوزارة ذات العلاقة</w:t>
            </w: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FD28D7" w:rsidRPr="00FD28D7" w:rsidRDefault="00FD28D7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ديوان محافظة بابل</w:t>
            </w:r>
          </w:p>
          <w:p w:rsidR="00FD28D7" w:rsidRPr="00FD28D7" w:rsidRDefault="00FD28D7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رئيس الجامعة</w:t>
            </w: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FD28D7" w:rsidRPr="00FD28D7" w:rsidRDefault="00FD28D7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مساعد رئيس الجامعة للشؤون الادارية والمالية</w:t>
            </w: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FD28D7" w:rsidRPr="00FD28D7" w:rsidRDefault="00FD28D7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مساعد رئيس الجامعة للشؤون العلمية</w:t>
            </w: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FD28D7" w:rsidRPr="00FD28D7" w:rsidRDefault="00FD28D7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العمداء ومعاونيهم في كليات الجامعة</w:t>
            </w: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  <w:t>.</w:t>
            </w:r>
          </w:p>
          <w:p w:rsidR="00FD28D7" w:rsidRPr="00FD28D7" w:rsidRDefault="00FD28D7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تشكيلات الجامعة – المراكز والاقسام كافة</w:t>
            </w:r>
          </w:p>
          <w:p w:rsidR="00FD28D7" w:rsidRPr="00FD28D7" w:rsidRDefault="00FD28D7" w:rsidP="009E3FF5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lang w:bidi="ar-IQ"/>
              </w:rPr>
            </w:pPr>
            <w:r w:rsidRPr="00FD28D7">
              <w:rPr>
                <w:rFonts w:asciiTheme="majorBidi" w:hAnsiTheme="majorBidi" w:cs="Times New Roman"/>
                <w:color w:val="002060"/>
                <w:sz w:val="28"/>
                <w:szCs w:val="28"/>
                <w:rtl/>
                <w:lang w:bidi="ar-IQ"/>
              </w:rPr>
              <w:t>الملف الدوار.</w:t>
            </w: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.</w:t>
            </w:r>
          </w:p>
          <w:p w:rsidR="00FD28D7" w:rsidRPr="00FD28D7" w:rsidRDefault="00FD28D7" w:rsidP="009E3FF5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FD28D7" w:rsidRPr="005E1E6F" w:rsidRDefault="00FD28D7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الجهات التي يجب اطلاعها على اعمام السياسات</w:t>
            </w:r>
          </w:p>
        </w:tc>
      </w:tr>
      <w:tr w:rsidR="006227F1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6861" w:type="dxa"/>
          </w:tcPr>
          <w:p w:rsidR="006227F1" w:rsidRPr="00FD28D7" w:rsidRDefault="006227F1" w:rsidP="00FD28D7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المستدامة.</w:t>
            </w:r>
          </w:p>
          <w:p w:rsidR="006227F1" w:rsidRPr="00FD28D7" w:rsidRDefault="006227F1" w:rsidP="00FD28D7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موقع جامعة بابل الرسمي باللغة العربية.</w:t>
            </w:r>
          </w:p>
          <w:p w:rsidR="006227F1" w:rsidRPr="00FD28D7" w:rsidRDefault="006227F1" w:rsidP="00FD28D7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موقع جامعة بابل الرسمي باللغة الانكليزية.</w:t>
            </w:r>
          </w:p>
          <w:p w:rsidR="006227F1" w:rsidRDefault="006227F1" w:rsidP="00FD28D7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 w:hint="cs"/>
                <w:color w:val="002060"/>
                <w:sz w:val="28"/>
                <w:szCs w:val="28"/>
              </w:rPr>
            </w:pPr>
            <w:r w:rsidRPr="00FD28D7"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  <w:t>اشعار رسمي الى تشكيلات الجامعة الادارية : كليات واقسام الرئاسة كافة</w:t>
            </w:r>
            <w:r w:rsidR="008B6482"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.</w:t>
            </w:r>
          </w:p>
          <w:p w:rsidR="004031C4" w:rsidRPr="004031C4" w:rsidRDefault="004031C4" w:rsidP="004031C4">
            <w:pPr>
              <w:bidi/>
              <w:ind w:left="21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2499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6227F1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4B6721" w:rsidRPr="00FD28D7" w:rsidRDefault="004031C4" w:rsidP="004031C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color w:val="002060"/>
                <w:sz w:val="28"/>
                <w:szCs w:val="28"/>
                <w:rtl/>
                <w:lang w:bidi="ar-IQ"/>
              </w:rPr>
              <w:t>عدم التمييز : ضمان المساواة ومنح الفرص</w:t>
            </w:r>
          </w:p>
          <w:p w:rsidR="002F5205" w:rsidRPr="00FD28D7" w:rsidRDefault="002F5205" w:rsidP="004031C4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2499" w:type="dxa"/>
          </w:tcPr>
          <w:p w:rsidR="006227F1" w:rsidRPr="005E1E6F" w:rsidRDefault="006227F1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6227F1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4031C4" w:rsidRDefault="0078089C" w:rsidP="004031C4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 w:hint="cs"/>
                <w:color w:val="002060"/>
                <w:sz w:val="28"/>
                <w:szCs w:val="28"/>
                <w:lang w:bidi="ar-IQ"/>
              </w:rPr>
            </w:pP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تلتزم الجامعة بتوفير </w:t>
            </w:r>
            <w:r w:rsidR="004031C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فرص متساوية و</w:t>
            </w:r>
            <w:r w:rsidR="00647264"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عدم التمييز بين الجنسين </w:t>
            </w:r>
            <w:r w:rsidR="004031C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للمقاعد الدراسية في كافة البرامج المتاحة .</w:t>
            </w:r>
          </w:p>
          <w:p w:rsidR="004031C4" w:rsidRDefault="004031C4" w:rsidP="004031C4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 w:hint="cs"/>
                <w:color w:val="00206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اعتماد الشفافية في التقديم و القبول للبرامج الدراسية للدراسات الاولية.</w:t>
            </w:r>
          </w:p>
          <w:p w:rsidR="004031C4" w:rsidRDefault="004031C4" w:rsidP="004031C4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 w:hint="cs"/>
                <w:color w:val="00206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اعتماد الشفافية </w:t>
            </w: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في التقديم و القبول للبرامج الدراسية للدراسات </w:t>
            </w: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العليا.</w:t>
            </w:r>
          </w:p>
          <w:p w:rsidR="004031C4" w:rsidRDefault="004031C4" w:rsidP="004031C4">
            <w:pPr>
              <w:pStyle w:val="a6"/>
              <w:numPr>
                <w:ilvl w:val="0"/>
                <w:numId w:val="10"/>
              </w:numPr>
              <w:bidi/>
              <w:rPr>
                <w:rFonts w:asciiTheme="majorBidi" w:hAnsiTheme="majorBidi" w:cstheme="majorBidi" w:hint="cs"/>
                <w:color w:val="00206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اعتماد النشر للمقبولين في المقاعد الراسية وضمان الاعتراضات ان وجدت.</w:t>
            </w:r>
          </w:p>
          <w:p w:rsidR="004E4A37" w:rsidRPr="00FD28D7" w:rsidRDefault="004E4A37" w:rsidP="005939AA">
            <w:pPr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تحرص الجامعة على </w:t>
            </w:r>
            <w:r w:rsidR="00647264"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توفير شبكة من مستشاري المساواة بين الجنسين للبحوث والدورات الدراسية</w:t>
            </w: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.</w:t>
            </w:r>
          </w:p>
          <w:p w:rsidR="004E4A37" w:rsidRPr="00FD28D7" w:rsidRDefault="004031C4" w:rsidP="004031C4">
            <w:pPr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أقامة</w:t>
            </w:r>
            <w:proofErr w:type="spellEnd"/>
            <w:r w:rsidR="00647264"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ورش </w:t>
            </w:r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عمل حول</w:t>
            </w:r>
            <w:r w:rsidR="00647264"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التوعية بالنوع </w:t>
            </w:r>
            <w:proofErr w:type="spellStart"/>
            <w:r w:rsidR="00647264"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ألأجتماعي</w:t>
            </w:r>
            <w:proofErr w:type="spellEnd"/>
            <w:r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داخل الحرم الجامعي.</w:t>
            </w:r>
          </w:p>
          <w:p w:rsidR="00647264" w:rsidRPr="00FD28D7" w:rsidRDefault="00647264" w:rsidP="004031C4">
            <w:pPr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تنظيم </w:t>
            </w:r>
            <w:r w:rsidR="004031C4"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استطلاعات</w:t>
            </w: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</w:t>
            </w:r>
            <w:r w:rsidR="004031C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باعتماد اليات التغذية الراجعة وبشكل دوري منظم</w:t>
            </w: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بش</w:t>
            </w:r>
            <w:r w:rsidR="004031C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أن قضايا التمييز. </w:t>
            </w:r>
          </w:p>
          <w:p w:rsidR="004E4A37" w:rsidRPr="00FD28D7" w:rsidRDefault="004E4A37" w:rsidP="00FD28D7">
            <w:pPr>
              <w:bidi/>
              <w:ind w:left="720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391221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391221" w:rsidRPr="00FD28D7" w:rsidRDefault="004E4A37" w:rsidP="00FD28D7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تطبيق قانون عدم التمييز</w:t>
            </w:r>
            <w:r w:rsidR="00FD28D7"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</w:t>
            </w:r>
            <w:r w:rsidR="00DC40A8"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ضد </w:t>
            </w:r>
            <w:proofErr w:type="spellStart"/>
            <w:r w:rsidR="00DC40A8"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المراة</w:t>
            </w:r>
            <w:proofErr w:type="spellEnd"/>
            <w:r w:rsidR="00FD28D7"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</w:t>
            </w:r>
            <w:r w:rsidR="00DC40A8"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(الطالبة) </w:t>
            </w: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والتعليمات الوزارية النافذة</w:t>
            </w: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391221" w:rsidRPr="00391221" w:rsidTr="004A3A2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6861" w:type="dxa"/>
          </w:tcPr>
          <w:p w:rsidR="00391221" w:rsidRPr="00FD28D7" w:rsidRDefault="00FD28D7" w:rsidP="00FD28D7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FD28D7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لا يوجد</w:t>
            </w:r>
          </w:p>
        </w:tc>
        <w:tc>
          <w:tcPr>
            <w:tcW w:w="2499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FD28D7" w:rsidRPr="00C06408" w:rsidRDefault="001356D3" w:rsidP="00FD28D7">
      <w:pPr>
        <w:bidi/>
        <w:rPr>
          <w:rFonts w:asciiTheme="majorBidi" w:hAnsiTheme="majorBidi" w:cstheme="majorBidi"/>
          <w:color w:val="0F243E" w:themeColor="text2" w:themeShade="80"/>
          <w:sz w:val="36"/>
          <w:szCs w:val="36"/>
        </w:rPr>
      </w:pP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.</w:t>
      </w:r>
      <w:r w:rsidR="00391221" w:rsidRPr="00907D6A">
        <w:rPr>
          <w:rFonts w:asciiTheme="majorBidi" w:hAnsiTheme="majorBidi" w:cstheme="majorBidi"/>
          <w:color w:val="0F243E" w:themeColor="text2" w:themeShade="80"/>
          <w:sz w:val="28"/>
          <w:szCs w:val="28"/>
        </w:rPr>
        <w:t xml:space="preserve"> </w:t>
      </w:r>
      <w:r w:rsidR="00FD28D7" w:rsidRPr="00C06408">
        <w:rPr>
          <w:rFonts w:asciiTheme="majorBidi" w:hAnsiTheme="majorBidi" w:cs="Times New Roman"/>
          <w:color w:val="0F243E" w:themeColor="text2" w:themeShade="80"/>
          <w:sz w:val="36"/>
          <w:szCs w:val="36"/>
          <w:rtl/>
        </w:rPr>
        <w:t xml:space="preserve">اسم الملف : </w:t>
      </w:r>
    </w:p>
    <w:p w:rsidR="00FD28D7" w:rsidRPr="00C06408" w:rsidRDefault="00FD28D7" w:rsidP="00FD28D7">
      <w:pPr>
        <w:bidi/>
        <w:rPr>
          <w:rFonts w:asciiTheme="majorBidi" w:hAnsiTheme="majorBidi" w:cstheme="majorBidi"/>
          <w:color w:val="0F243E" w:themeColor="text2" w:themeShade="80"/>
          <w:sz w:val="36"/>
          <w:szCs w:val="36"/>
        </w:rPr>
      </w:pPr>
      <w:r w:rsidRPr="00C06408">
        <w:rPr>
          <w:rFonts w:asciiTheme="majorBidi" w:hAnsiTheme="majorBidi" w:cstheme="majorBidi"/>
          <w:color w:val="0F243E" w:themeColor="text2" w:themeShade="80"/>
          <w:sz w:val="36"/>
          <w:szCs w:val="36"/>
        </w:rPr>
        <w:t>Arabic_UoBPP_</w:t>
      </w:r>
      <w:r>
        <w:rPr>
          <w:rFonts w:asciiTheme="majorBidi" w:hAnsiTheme="majorBidi" w:cstheme="majorBidi"/>
          <w:color w:val="0F243E" w:themeColor="text2" w:themeShade="80"/>
          <w:sz w:val="36"/>
          <w:szCs w:val="36"/>
        </w:rPr>
        <w:t>3</w:t>
      </w:r>
      <w:r w:rsidRPr="00C06408">
        <w:rPr>
          <w:rFonts w:asciiTheme="majorBidi" w:hAnsiTheme="majorBidi" w:cstheme="majorBidi"/>
          <w:color w:val="0F243E" w:themeColor="text2" w:themeShade="80"/>
          <w:sz w:val="36"/>
          <w:szCs w:val="36"/>
        </w:rPr>
        <w:t>_2021.docx</w:t>
      </w:r>
      <w:r w:rsidRPr="00C06408">
        <w:rPr>
          <w:rFonts w:asciiTheme="majorBidi" w:hAnsiTheme="majorBidi" w:cs="Times New Roman"/>
          <w:color w:val="0F243E" w:themeColor="text2" w:themeShade="80"/>
          <w:sz w:val="36"/>
          <w:szCs w:val="36"/>
          <w:rtl/>
        </w:rPr>
        <w:t xml:space="preserve"> </w:t>
      </w:r>
    </w:p>
    <w:p w:rsidR="00FD28D7" w:rsidRPr="00C06408" w:rsidRDefault="00FD28D7" w:rsidP="00FD28D7">
      <w:pPr>
        <w:bidi/>
        <w:rPr>
          <w:rFonts w:asciiTheme="majorBidi" w:hAnsiTheme="majorBidi" w:cstheme="majorBidi"/>
          <w:color w:val="FF0000"/>
          <w:sz w:val="36"/>
          <w:szCs w:val="36"/>
        </w:rPr>
      </w:pPr>
      <w:r w:rsidRPr="00C06408">
        <w:rPr>
          <w:rFonts w:asciiTheme="majorBidi" w:hAnsiTheme="majorBidi" w:cs="Times New Roman"/>
          <w:color w:val="FF0000"/>
          <w:sz w:val="36"/>
          <w:szCs w:val="36"/>
          <w:rtl/>
        </w:rPr>
        <w:t xml:space="preserve">تمت المراجعة في اجتماع اللجنة المنعقد بتاريخ </w:t>
      </w:r>
      <w:r>
        <w:rPr>
          <w:rFonts w:asciiTheme="majorBidi" w:hAnsiTheme="majorBidi" w:cs="Times New Roman" w:hint="cs"/>
          <w:color w:val="FF0000"/>
          <w:sz w:val="36"/>
          <w:szCs w:val="36"/>
          <w:rtl/>
        </w:rPr>
        <w:t>29</w:t>
      </w:r>
      <w:r w:rsidRPr="00C06408">
        <w:rPr>
          <w:rFonts w:asciiTheme="majorBidi" w:hAnsiTheme="majorBidi" w:cs="Times New Roman"/>
          <w:color w:val="FF0000"/>
          <w:sz w:val="36"/>
          <w:szCs w:val="36"/>
          <w:rtl/>
        </w:rPr>
        <w:t>/10/2021.</w:t>
      </w:r>
    </w:p>
    <w:p w:rsidR="00E94E5F" w:rsidRPr="00907D6A" w:rsidRDefault="00E94E5F" w:rsidP="004A3A24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</w:p>
    <w:sectPr w:rsidR="00E94E5F" w:rsidRPr="00907D6A" w:rsidSect="00497E1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B3" w:rsidRDefault="00A57FB3" w:rsidP="005D4DA3">
      <w:pPr>
        <w:spacing w:after="0" w:line="240" w:lineRule="auto"/>
      </w:pPr>
      <w:r>
        <w:separator/>
      </w:r>
    </w:p>
  </w:endnote>
  <w:endnote w:type="continuationSeparator" w:id="0">
    <w:p w:rsidR="00A57FB3" w:rsidRDefault="00A57FB3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>
    <w:pPr>
      <w:pStyle w:val="a4"/>
      <w:jc w:val="center"/>
    </w:pPr>
    <w:r>
      <w:rPr>
        <w:rFonts w:hint="cs"/>
        <w:rtl/>
      </w:rPr>
      <w:t>-3)</w:t>
    </w:r>
    <w:sdt>
      <w:sdtPr>
        <w:id w:val="504553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031C4" w:rsidRPr="004031C4">
          <w:rPr>
            <w:rFonts w:cs="Calibri"/>
            <w:noProof/>
            <w:lang w:val="ar-SA"/>
          </w:rPr>
          <w:t>3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46233A">
    <w:pPr>
      <w:pStyle w:val="a4"/>
      <w:jc w:val="center"/>
    </w:pPr>
    <w:r>
      <w:rPr>
        <w:rFonts w:hint="cs"/>
        <w:rtl/>
      </w:rPr>
      <w:t>(1-3)</w:t>
    </w:r>
  </w:p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B3" w:rsidRDefault="00A57FB3" w:rsidP="005D4DA3">
      <w:pPr>
        <w:spacing w:after="0" w:line="240" w:lineRule="auto"/>
      </w:pPr>
      <w:r>
        <w:separator/>
      </w:r>
    </w:p>
  </w:footnote>
  <w:footnote w:type="continuationSeparator" w:id="0">
    <w:p w:rsidR="00A57FB3" w:rsidRDefault="00A57FB3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A57FB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A57FB3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A57FB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2651"/>
    <w:multiLevelType w:val="hybridMultilevel"/>
    <w:tmpl w:val="56C07100"/>
    <w:lvl w:ilvl="0" w:tplc="04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6E42E1"/>
    <w:multiLevelType w:val="hybridMultilevel"/>
    <w:tmpl w:val="E0B63E4C"/>
    <w:lvl w:ilvl="0" w:tplc="F610582A">
      <w:numFmt w:val="bullet"/>
      <w:lvlText w:val="•"/>
      <w:lvlJc w:val="left"/>
      <w:pPr>
        <w:ind w:left="831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6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27B78"/>
    <w:multiLevelType w:val="hybridMultilevel"/>
    <w:tmpl w:val="B81C9D74"/>
    <w:lvl w:ilvl="0" w:tplc="C93CB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A4650"/>
    <w:multiLevelType w:val="hybridMultilevel"/>
    <w:tmpl w:val="5380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10B9A"/>
    <w:multiLevelType w:val="hybridMultilevel"/>
    <w:tmpl w:val="7BD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002FB"/>
    <w:rsid w:val="00022600"/>
    <w:rsid w:val="00026FA2"/>
    <w:rsid w:val="000429AF"/>
    <w:rsid w:val="00053B7B"/>
    <w:rsid w:val="00074A22"/>
    <w:rsid w:val="00096C77"/>
    <w:rsid w:val="000F1E1D"/>
    <w:rsid w:val="0011312A"/>
    <w:rsid w:val="00115914"/>
    <w:rsid w:val="00124845"/>
    <w:rsid w:val="001356D3"/>
    <w:rsid w:val="0016741D"/>
    <w:rsid w:val="00177BA6"/>
    <w:rsid w:val="001C2F24"/>
    <w:rsid w:val="001E48D6"/>
    <w:rsid w:val="001F0829"/>
    <w:rsid w:val="00204EDF"/>
    <w:rsid w:val="00222F32"/>
    <w:rsid w:val="00233E0B"/>
    <w:rsid w:val="0023702B"/>
    <w:rsid w:val="00247F51"/>
    <w:rsid w:val="00274906"/>
    <w:rsid w:val="002A4DCA"/>
    <w:rsid w:val="002B7198"/>
    <w:rsid w:val="002C4C02"/>
    <w:rsid w:val="002D1751"/>
    <w:rsid w:val="002F5205"/>
    <w:rsid w:val="00320498"/>
    <w:rsid w:val="00321B58"/>
    <w:rsid w:val="00391221"/>
    <w:rsid w:val="003A11C0"/>
    <w:rsid w:val="003C3B4E"/>
    <w:rsid w:val="003F72C8"/>
    <w:rsid w:val="004031C4"/>
    <w:rsid w:val="00413A20"/>
    <w:rsid w:val="004401EB"/>
    <w:rsid w:val="00451773"/>
    <w:rsid w:val="00451BE8"/>
    <w:rsid w:val="0046233A"/>
    <w:rsid w:val="004858E7"/>
    <w:rsid w:val="00497E1E"/>
    <w:rsid w:val="004A3A24"/>
    <w:rsid w:val="004B31E2"/>
    <w:rsid w:val="004B3900"/>
    <w:rsid w:val="004B6721"/>
    <w:rsid w:val="004D672C"/>
    <w:rsid w:val="004E3193"/>
    <w:rsid w:val="004E4A37"/>
    <w:rsid w:val="004E6875"/>
    <w:rsid w:val="004F7AE4"/>
    <w:rsid w:val="005004F8"/>
    <w:rsid w:val="00500E80"/>
    <w:rsid w:val="005157E1"/>
    <w:rsid w:val="0057032A"/>
    <w:rsid w:val="00582219"/>
    <w:rsid w:val="00584CBD"/>
    <w:rsid w:val="005939AA"/>
    <w:rsid w:val="005A0AE4"/>
    <w:rsid w:val="005D4DA3"/>
    <w:rsid w:val="005E1E6F"/>
    <w:rsid w:val="005E30DB"/>
    <w:rsid w:val="005F6078"/>
    <w:rsid w:val="0060648D"/>
    <w:rsid w:val="00610864"/>
    <w:rsid w:val="006227F1"/>
    <w:rsid w:val="00637DFD"/>
    <w:rsid w:val="00647264"/>
    <w:rsid w:val="00651327"/>
    <w:rsid w:val="006625A2"/>
    <w:rsid w:val="006646F6"/>
    <w:rsid w:val="006737C8"/>
    <w:rsid w:val="00683E82"/>
    <w:rsid w:val="006B7746"/>
    <w:rsid w:val="006E0D5E"/>
    <w:rsid w:val="006F7484"/>
    <w:rsid w:val="00706FBE"/>
    <w:rsid w:val="00754AC6"/>
    <w:rsid w:val="0076292A"/>
    <w:rsid w:val="0078089C"/>
    <w:rsid w:val="00797923"/>
    <w:rsid w:val="007A0890"/>
    <w:rsid w:val="007B1C1A"/>
    <w:rsid w:val="007B1D7A"/>
    <w:rsid w:val="007B30B7"/>
    <w:rsid w:val="007C2D64"/>
    <w:rsid w:val="007E4966"/>
    <w:rsid w:val="007E7A03"/>
    <w:rsid w:val="00813874"/>
    <w:rsid w:val="00827A59"/>
    <w:rsid w:val="0087566C"/>
    <w:rsid w:val="00886C06"/>
    <w:rsid w:val="008A0CD7"/>
    <w:rsid w:val="008B6482"/>
    <w:rsid w:val="008D5687"/>
    <w:rsid w:val="008D7633"/>
    <w:rsid w:val="008E200F"/>
    <w:rsid w:val="00907D6A"/>
    <w:rsid w:val="009831E1"/>
    <w:rsid w:val="00994EB1"/>
    <w:rsid w:val="0099668E"/>
    <w:rsid w:val="009A1EAC"/>
    <w:rsid w:val="009D4D1A"/>
    <w:rsid w:val="00A06E55"/>
    <w:rsid w:val="00A0778E"/>
    <w:rsid w:val="00A12C23"/>
    <w:rsid w:val="00A26903"/>
    <w:rsid w:val="00A5079A"/>
    <w:rsid w:val="00A57FB3"/>
    <w:rsid w:val="00A84C70"/>
    <w:rsid w:val="00A920FE"/>
    <w:rsid w:val="00A93AA1"/>
    <w:rsid w:val="00A968AF"/>
    <w:rsid w:val="00AD2D63"/>
    <w:rsid w:val="00B04382"/>
    <w:rsid w:val="00B143AD"/>
    <w:rsid w:val="00B43486"/>
    <w:rsid w:val="00B51400"/>
    <w:rsid w:val="00B534B3"/>
    <w:rsid w:val="00B65D0D"/>
    <w:rsid w:val="00BB1F49"/>
    <w:rsid w:val="00BF04EE"/>
    <w:rsid w:val="00C37B52"/>
    <w:rsid w:val="00C900FA"/>
    <w:rsid w:val="00CA2EF3"/>
    <w:rsid w:val="00CD4253"/>
    <w:rsid w:val="00CD5044"/>
    <w:rsid w:val="00D05CE1"/>
    <w:rsid w:val="00D135C9"/>
    <w:rsid w:val="00D225E7"/>
    <w:rsid w:val="00D37D88"/>
    <w:rsid w:val="00D63C04"/>
    <w:rsid w:val="00DA4A9A"/>
    <w:rsid w:val="00DC40A8"/>
    <w:rsid w:val="00DF61A2"/>
    <w:rsid w:val="00E43AF9"/>
    <w:rsid w:val="00E64B3B"/>
    <w:rsid w:val="00E651F3"/>
    <w:rsid w:val="00E85015"/>
    <w:rsid w:val="00E868F0"/>
    <w:rsid w:val="00E94E5F"/>
    <w:rsid w:val="00EB0D45"/>
    <w:rsid w:val="00EB5726"/>
    <w:rsid w:val="00ED435D"/>
    <w:rsid w:val="00F1029D"/>
    <w:rsid w:val="00F151DB"/>
    <w:rsid w:val="00F30F3B"/>
    <w:rsid w:val="00F55BD6"/>
    <w:rsid w:val="00F61BEB"/>
    <w:rsid w:val="00F66195"/>
    <w:rsid w:val="00F76586"/>
    <w:rsid w:val="00F8048A"/>
    <w:rsid w:val="00F8759C"/>
    <w:rsid w:val="00FA031C"/>
    <w:rsid w:val="00FA39BA"/>
    <w:rsid w:val="00FD28D7"/>
    <w:rsid w:val="00FD6E9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17</cp:revision>
  <dcterms:created xsi:type="dcterms:W3CDTF">2021-10-06T10:01:00Z</dcterms:created>
  <dcterms:modified xsi:type="dcterms:W3CDTF">2021-11-03T21:28:00Z</dcterms:modified>
</cp:coreProperties>
</file>