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4F22B3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6E0D5E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أعداد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صعصاع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كاطع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4F22B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</w:t>
            </w:r>
            <w:r w:rsidR="004F22B3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الليباوي</w:t>
            </w:r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499"/>
      </w:tblGrid>
      <w:tr w:rsidR="005004F8" w:rsidRPr="004F7AE4" w:rsidTr="005B66C2">
        <w:trPr>
          <w:trHeight w:val="414"/>
        </w:trPr>
        <w:tc>
          <w:tcPr>
            <w:tcW w:w="9360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022B2B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022B2B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BE6640" w:rsidRDefault="00391221" w:rsidP="005170A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E66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BE6640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D135C9" w:rsidRPr="00BE664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5170AD" w:rsidRPr="00BE6640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5B66C2" w:rsidRPr="005E1E6F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5B66C2" w:rsidRPr="00BE6640" w:rsidRDefault="005B66C2" w:rsidP="00BE66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سياسة لتحديد ومراقبة وحماية أي أنواع مدرجة في القائمة الحمراء للاتحاد الدولي لحفظ الطبيعة </w:t>
            </w:r>
            <w:r w:rsidRPr="00BE6640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(IUCN) </w:t>
            </w:r>
            <w:r w:rsidRPr="00BE664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أنواع قائمة الحفظ الوطنية ذات الموائل في المناطق المتأثرة بتشغيل </w:t>
            </w:r>
            <w:r w:rsidR="00BE664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499" w:type="dxa"/>
          </w:tcPr>
          <w:p w:rsidR="005B66C2" w:rsidRPr="005E1E6F" w:rsidRDefault="005B66C2" w:rsidP="00A5273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BE6640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BE6640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BE6640" w:rsidRDefault="00BE6640" w:rsidP="00F61BE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2021</w:t>
            </w:r>
          </w:p>
          <w:p w:rsidR="007C2D64" w:rsidRPr="00BE6640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9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BE6640" w:rsidRDefault="00177BA6" w:rsidP="005170A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تفعيل دور الجامعة في</w:t>
            </w:r>
            <w:r w:rsidR="005170AD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الحفاظ على المخلوقات المهددة بالانقراض وال</w:t>
            </w:r>
            <w:r w:rsidR="005170AD"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مدرجة في القائمة الحمراء للاتحاد الدولي لحفظ الطبيعة </w:t>
            </w:r>
            <w:r w:rsidR="005170AD" w:rsidRPr="00BE6640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(IUCN) </w:t>
            </w:r>
            <w:r w:rsidR="005170AD" w:rsidRPr="00BE664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والتي لها علاقة بعمل الجامعة 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F22B3" w:rsidRPr="00BE6640" w:rsidRDefault="004F22B3" w:rsidP="00BE6640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برنامج الأمم المتّحدة </w:t>
            </w:r>
            <w:r w:rsid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لضمان الاستدامة وحماية البيئة </w:t>
            </w: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لعام 1972</w:t>
            </w:r>
          </w:p>
          <w:p w:rsidR="004F22B3" w:rsidRPr="00BE6640" w:rsidRDefault="004F22B3" w:rsidP="004F22B3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قانون حماية الحيوانات البرية</w:t>
            </w:r>
            <w:r w:rsidRPr="00BE664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العراقي (17) لسنة 2010</w:t>
            </w:r>
          </w:p>
          <w:p w:rsidR="004F22B3" w:rsidRPr="00BE6640" w:rsidRDefault="004F22B3" w:rsidP="004F22B3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القانون العراقي- حماية وتحسين البيئة رقم (27) لسنة 2009</w:t>
            </w:r>
          </w:p>
          <w:p w:rsidR="007C2D64" w:rsidRDefault="00BE6640" w:rsidP="004F22B3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قا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</w:t>
            </w:r>
            <w:r w:rsidR="004F22B3"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ـون وزارة البيئة العراقية رقم (37) لسنة  2008 </w:t>
            </w:r>
          </w:p>
          <w:p w:rsidR="00BE6640" w:rsidRPr="00BE6640" w:rsidRDefault="00BE6640" w:rsidP="00BE6640">
            <w:pPr>
              <w:pStyle w:val="a6"/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A93406" w:rsidRPr="00A93406" w:rsidRDefault="00A93406" w:rsidP="00A93406">
            <w:pPr>
              <w:pStyle w:val="a6"/>
              <w:numPr>
                <w:ilvl w:val="0"/>
                <w:numId w:val="15"/>
              </w:numPr>
              <w:tabs>
                <w:tab w:val="right" w:pos="381"/>
              </w:tabs>
              <w:bidi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 w:rsidRP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الطلبة والمنتسبون كاف</w:t>
            </w:r>
            <w:r w:rsidRPr="00A9340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ة</w:t>
            </w:r>
          </w:p>
          <w:p w:rsidR="00BE6640" w:rsidRPr="00A93406" w:rsidRDefault="00BE6640" w:rsidP="00A93406">
            <w:pPr>
              <w:pStyle w:val="a6"/>
              <w:numPr>
                <w:ilvl w:val="0"/>
                <w:numId w:val="15"/>
              </w:numPr>
              <w:tabs>
                <w:tab w:val="right" w:pos="38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قسم الاعمار والمشاريع وشعبة العقود الحكومية في رئاسة الجامعة</w:t>
            </w:r>
            <w:r w:rsidRPr="00A934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934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A934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كلية الهندسة- قسم الهندسة البيئية</w:t>
            </w:r>
            <w:r w:rsidRPr="00A934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BE6640" w:rsidRPr="00A93406" w:rsidRDefault="00BE6640" w:rsidP="00A93406">
            <w:pPr>
              <w:pStyle w:val="a6"/>
              <w:numPr>
                <w:ilvl w:val="0"/>
                <w:numId w:val="15"/>
              </w:numPr>
              <w:tabs>
                <w:tab w:val="right" w:pos="38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كلية العلوم - قسم علوم الحياة</w:t>
            </w:r>
            <w:r w:rsidRPr="00A934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BE6640" w:rsidRPr="00A93406" w:rsidRDefault="00BE6640" w:rsidP="00A93406">
            <w:pPr>
              <w:pStyle w:val="a6"/>
              <w:numPr>
                <w:ilvl w:val="0"/>
                <w:numId w:val="15"/>
              </w:numPr>
              <w:tabs>
                <w:tab w:val="right" w:pos="381"/>
              </w:tabs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مركز الدراسات والبحوث البيئية</w:t>
            </w:r>
          </w:p>
          <w:p w:rsidR="00177BA6" w:rsidRPr="00BE6640" w:rsidRDefault="00177BA6" w:rsidP="00BE6640">
            <w:pPr>
              <w:tabs>
                <w:tab w:val="right" w:pos="381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99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BE6640" w:rsidRDefault="00BE664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بابل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على السياسة</w:t>
            </w:r>
          </w:p>
        </w:tc>
      </w:tr>
      <w:tr w:rsidR="007C2D64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BE6640" w:rsidRPr="00BE6640" w:rsidRDefault="00BE6640" w:rsidP="00BE6640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الجهات المسؤولة وذات الصلة المسؤولة عن التنفيذ والإدارة: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رئيس الجامعة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الادارية والمالية.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العلمية.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العمداء ومعاونيهم في كليات الجامعة.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قسم الاعمار والمشاريع.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ديوان رئاسة الجامعة /الشعبة الزراعية</w:t>
            </w:r>
          </w:p>
          <w:p w:rsidR="005157E1" w:rsidRPr="00BE6640" w:rsidRDefault="005157E1" w:rsidP="00B43486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6227F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8723A6" w:rsidRPr="00BE6640" w:rsidRDefault="008723A6" w:rsidP="008723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الإدارات أو المكاتب الرئيسية التي يجب إخطارها/ اشعارها بالسياسة بعد المصادقة والاعمام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  <w:p w:rsidR="008723A6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دوائر الوزارة ذات العلاقة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BE6640" w:rsidRDefault="00BE6640" w:rsidP="00BE6640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الصحة</w:t>
            </w:r>
          </w:p>
          <w:p w:rsidR="00BE6640" w:rsidRDefault="00BE6640" w:rsidP="00BE6640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وزارة الزراعة </w:t>
            </w:r>
          </w:p>
          <w:p w:rsidR="00BE6640" w:rsidRPr="00BE6640" w:rsidRDefault="00BE6640" w:rsidP="00BE6640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البيئة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ديوان محافظة بابل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مديرية بيئة محافظة بابل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رئيس الجامعة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العمداء ومعاونيهم في كليات الجامعة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قسم الدراسات والتخطيط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8723A6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قسم ضمان الجودة</w:t>
            </w:r>
            <w:r w:rsidRPr="00BE66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F72C8" w:rsidRPr="00BE6640" w:rsidRDefault="008723A6" w:rsidP="008723A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الملف الدوار.</w:t>
            </w:r>
          </w:p>
          <w:p w:rsidR="00BE6640" w:rsidRPr="00BE6640" w:rsidRDefault="00BE6640" w:rsidP="00BE6640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6861" w:type="dxa"/>
          </w:tcPr>
          <w:p w:rsidR="006227F1" w:rsidRPr="00BE6640" w:rsidRDefault="006227F1" w:rsidP="00BE6640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BE6640" w:rsidRDefault="006227F1" w:rsidP="00BE6640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BE6640" w:rsidRDefault="006227F1" w:rsidP="00BE6640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Default="006227F1" w:rsidP="00BE6640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BE6640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BE664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BE6640" w:rsidRPr="00BE6640" w:rsidRDefault="00BE6640" w:rsidP="00BE6640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2F5205" w:rsidRPr="00BE6640" w:rsidRDefault="00121679" w:rsidP="0012167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IUCN</w:t>
            </w:r>
            <w:r w:rsidRPr="00BE664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: </w:t>
            </w: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للاتحاد الدولي لحفظ الطبيعة </w:t>
            </w:r>
          </w:p>
        </w:tc>
        <w:tc>
          <w:tcPr>
            <w:tcW w:w="2499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6227F1" w:rsidRDefault="000568E8" w:rsidP="00A93406">
            <w:pPr>
              <w:bidi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سياسة لتحديد ومراقبة وحماية أي أنواع مدرجة في القائمة الحمراء للاتحاد الدولي لحفظ الطبيعة </w:t>
            </w:r>
            <w:r w:rsidR="002E6DD6" w:rsidRPr="00BE6640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(IUCN) </w:t>
            </w:r>
            <w:r w:rsidRPr="00BE6640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="002E6DD6" w:rsidRPr="00BE6640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="002E6DD6" w:rsidRPr="00BE664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BE664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أنواع قائمة الحفظ الوطنية ذات الموائل ف</w:t>
            </w:r>
            <w:r w:rsid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ي المناطق المتأثرة بتشغيل </w:t>
            </w:r>
            <w:r w:rsidR="00A9340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الجامعة.</w:t>
            </w:r>
          </w:p>
          <w:p w:rsidR="00A93406" w:rsidRPr="00BE6640" w:rsidRDefault="00A93406" w:rsidP="00A934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6227F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21B58" w:rsidRPr="00BE6640" w:rsidRDefault="00321B58" w:rsidP="007C21E9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أن هذه السياسة تنص على </w:t>
            </w:r>
            <w:r w:rsidR="00391221" w:rsidRPr="00BE6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ادراج الارشادات والضوابط المتعلقة </w:t>
            </w:r>
            <w:r w:rsidR="008E200F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="0012167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لحف</w:t>
            </w:r>
            <w:r w:rsidR="008E200F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اظ على 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الاحياء المهددة بالانقراض وا</w:t>
            </w:r>
            <w:r w:rsidR="00C37905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لمدرجة ضمن القائمة الحمراء للاتح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اد الدولي لحفظ الطبيعة  والواقعة  ضمن مناطق عمل الجامعة </w:t>
            </w:r>
            <w:r w:rsidR="008E200F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C37B52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 طريق  فعاليات الجامعة</w:t>
            </w:r>
            <w:r w:rsidR="000F1E1D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8E200F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التالية</w:t>
            </w:r>
            <w:r w:rsidR="000F1E1D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:</w:t>
            </w:r>
          </w:p>
          <w:p w:rsidR="00A93406" w:rsidRPr="00A93406" w:rsidRDefault="004F22B3" w:rsidP="00A93406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اقامة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ورش العمل والندوات بتعريف  الطلبة ومنتسبي الجامعة </w:t>
            </w:r>
            <w:r w:rsidR="00C37905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وهواة الصيد 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بالاحياء المهددة  بالانقراض ضمن مناطق تاثير الجامعة والداخلة ضمن القائمة الحم</w:t>
            </w:r>
            <w:r w:rsidR="00A934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راء للاتحاد الدولي لحفظ الطبيعة بشكل دوري وفي بداية كل عام دراسي كما جرت العادة.</w:t>
            </w:r>
          </w:p>
          <w:p w:rsidR="004B3900" w:rsidRPr="00BE6640" w:rsidRDefault="004F22B3" w:rsidP="00A93406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تستمر 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 بتوجيه   </w:t>
            </w:r>
            <w:r w:rsidR="00A934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رئاسة الجامعة </w:t>
            </w:r>
            <w:r w:rsidR="00A9340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="00A934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الشعبة الزراعية 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فيها بعدم قطع او ازالة البيئات الحاضنة  لهذه الاحياء.</w:t>
            </w:r>
          </w:p>
          <w:p w:rsidR="007C21E9" w:rsidRPr="00BE6640" w:rsidRDefault="004F22B3" w:rsidP="007C21E9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تستمر</w:t>
            </w:r>
            <w:r w:rsidR="007C21E9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الاقسام العلمية  بتبادل المعلومات وتحديثها مع الاتحاد الدولي لحفظ الطبيعة </w:t>
            </w:r>
            <w:r w:rsidR="004B2CC5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بشان هذه الاحياء.</w:t>
            </w:r>
          </w:p>
          <w:p w:rsidR="004401EB" w:rsidRDefault="004F22B3" w:rsidP="004F22B3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تستمر </w:t>
            </w:r>
            <w:r w:rsidR="004B2CC5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باصدا</w:t>
            </w:r>
            <w:r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</w:t>
            </w:r>
            <w:r w:rsidR="004B2CC5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تعليمات محددة  بعدم استخدام  هذه  الاحياء  </w:t>
            </w:r>
            <w:r w:rsidR="004B2CC5" w:rsidRPr="00BE664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ضمن البحوث او الدراسات  وتوضع  ضوابط للموافقات الاخلاقية تمنع استخدام هذه الاحياء.</w:t>
            </w:r>
          </w:p>
          <w:p w:rsidR="00A93406" w:rsidRPr="00BE6640" w:rsidRDefault="00A93406" w:rsidP="00A93406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تعلن الجامعة القائمة الحمراء الصادرة دوليا للتعريف بالحيوانات المهددة بالانقراض</w:t>
            </w:r>
          </w:p>
          <w:p w:rsidR="00391221" w:rsidRPr="00BE6640" w:rsidRDefault="00391221" w:rsidP="007E6D9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BE6640" w:rsidRDefault="00A93406" w:rsidP="00A93406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A9340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lastRenderedPageBreak/>
              <w:t>حسب ما جاء في القوانين المذكورة اعلاه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5B66C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A93406" w:rsidRPr="00A93406" w:rsidRDefault="00A93406" w:rsidP="00A93406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93406">
              <w:rPr>
                <w:rFonts w:asciiTheme="majorBidi" w:hAnsiTheme="majorBidi" w:cstheme="majorBidi"/>
                <w:sz w:val="28"/>
                <w:szCs w:val="28"/>
              </w:rPr>
              <w:t>•</w:t>
            </w:r>
            <w:r w:rsidRPr="00A93406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A93406">
              <w:rPr>
                <w:rFonts w:asciiTheme="majorBidi" w:hAnsiTheme="majorBidi" w:cs="Times New Roman"/>
                <w:sz w:val="28"/>
                <w:szCs w:val="28"/>
                <w:rtl/>
              </w:rPr>
              <w:t>رفع مشروع قانون عن تبني</w:t>
            </w:r>
            <w:r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الزراعة المستدامة لحماية ال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كائنات الحية المهددة بالانقراض حرصا على التوازن الطبيعي للبيئة.</w:t>
            </w:r>
          </w:p>
          <w:p w:rsidR="00391221" w:rsidRPr="00BE6640" w:rsidRDefault="00A93406" w:rsidP="00A93406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93406">
              <w:rPr>
                <w:rFonts w:asciiTheme="majorBidi" w:hAnsiTheme="majorBidi" w:cs="Times New Roman"/>
                <w:sz w:val="28"/>
                <w:szCs w:val="28"/>
                <w:rtl/>
              </w:rPr>
              <w:t>•</w:t>
            </w:r>
            <w:r w:rsidRPr="00A9340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  <w:t xml:space="preserve">زيادة التخصيصات المالية السنوية لدعم البحث العلمي في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هذا ال</w:t>
            </w:r>
            <w:r w:rsidRPr="00A9340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مجال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Default="00907D6A" w:rsidP="00907D6A">
      <w:pPr>
        <w:jc w:val="right"/>
        <w:rPr>
          <w:rFonts w:asciiTheme="majorBidi" w:hAnsiTheme="majorBidi" w:cstheme="majorBidi" w:hint="cs"/>
          <w:color w:val="0F243E" w:themeColor="text2" w:themeShade="80"/>
          <w:sz w:val="36"/>
          <w:szCs w:val="36"/>
          <w:rtl/>
        </w:rPr>
      </w:pPr>
    </w:p>
    <w:p w:rsidR="00A93406" w:rsidRPr="00A93406" w:rsidRDefault="00A93406" w:rsidP="00A93406">
      <w:pPr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A93406"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. </w:t>
      </w:r>
    </w:p>
    <w:p w:rsidR="00A93406" w:rsidRPr="00A93406" w:rsidRDefault="00A93406" w:rsidP="00A93406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A93406">
        <w:rPr>
          <w:rFonts w:asciiTheme="majorBidi" w:hAnsiTheme="majorBidi" w:cs="Times New Roman"/>
          <w:color w:val="0F243E" w:themeColor="text2" w:themeShade="80"/>
          <w:sz w:val="28"/>
          <w:szCs w:val="28"/>
          <w:rtl/>
        </w:rPr>
        <w:t>اسم الملف</w:t>
      </w:r>
      <w:r w:rsidRPr="00A93406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: </w:t>
      </w:r>
    </w:p>
    <w:p w:rsidR="00A93406" w:rsidRPr="00A93406" w:rsidRDefault="00A93406" w:rsidP="00A93406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A93406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Arabic_UoBPP_2</w:t>
      </w:r>
      <w:r w:rsidRPr="00A93406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7</w:t>
      </w:r>
      <w:r w:rsidRPr="00A93406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_2021.docx </w:t>
      </w:r>
    </w:p>
    <w:p w:rsidR="00A93406" w:rsidRPr="00A93406" w:rsidRDefault="00A93406" w:rsidP="00A93406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A93406">
        <w:rPr>
          <w:rFonts w:asciiTheme="majorBidi" w:hAnsiTheme="majorBidi" w:cs="Times New Roman"/>
          <w:color w:val="FF0000"/>
          <w:sz w:val="28"/>
          <w:szCs w:val="28"/>
          <w:rtl/>
        </w:rPr>
        <w:t>تمت المراجعة في اجتماع اللجنة المنعقد بتاريخ 24/10/2021</w:t>
      </w: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</w:p>
    <w:p w:rsidR="001356D3" w:rsidRPr="00907D6A" w:rsidRDefault="001356D3" w:rsidP="00907D6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.</w:t>
      </w:r>
    </w:p>
    <w:p w:rsidR="00E94E5F" w:rsidRPr="00907D6A" w:rsidRDefault="00391221" w:rsidP="00391221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907D6A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</w:t>
      </w:r>
    </w:p>
    <w:sectPr w:rsidR="00E94E5F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2B" w:rsidRDefault="00022B2B" w:rsidP="005D4DA3">
      <w:pPr>
        <w:spacing w:after="0" w:line="240" w:lineRule="auto"/>
      </w:pPr>
      <w:r>
        <w:separator/>
      </w:r>
    </w:p>
  </w:endnote>
  <w:endnote w:type="continuationSeparator" w:id="0">
    <w:p w:rsidR="00022B2B" w:rsidRDefault="00022B2B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3406" w:rsidRPr="00A93406">
          <w:rPr>
            <w:rFonts w:cs="Calibri"/>
            <w:noProof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2B" w:rsidRDefault="00022B2B" w:rsidP="005D4DA3">
      <w:pPr>
        <w:spacing w:after="0" w:line="240" w:lineRule="auto"/>
      </w:pPr>
      <w:r>
        <w:separator/>
      </w:r>
    </w:p>
  </w:footnote>
  <w:footnote w:type="continuationSeparator" w:id="0">
    <w:p w:rsidR="00022B2B" w:rsidRDefault="00022B2B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022B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022B2B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022B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414"/>
    <w:multiLevelType w:val="hybridMultilevel"/>
    <w:tmpl w:val="33EE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62050"/>
    <w:multiLevelType w:val="hybridMultilevel"/>
    <w:tmpl w:val="B12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55B2"/>
    <w:multiLevelType w:val="hybridMultilevel"/>
    <w:tmpl w:val="9A4A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793"/>
    <w:multiLevelType w:val="hybridMultilevel"/>
    <w:tmpl w:val="8BD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060EB"/>
    <w:multiLevelType w:val="hybridMultilevel"/>
    <w:tmpl w:val="A19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372A5"/>
    <w:multiLevelType w:val="hybridMultilevel"/>
    <w:tmpl w:val="EE8A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6F97"/>
    <w:rsid w:val="00022600"/>
    <w:rsid w:val="00022B2B"/>
    <w:rsid w:val="00026FA2"/>
    <w:rsid w:val="00053B7B"/>
    <w:rsid w:val="000568E8"/>
    <w:rsid w:val="00074A22"/>
    <w:rsid w:val="00096C77"/>
    <w:rsid w:val="000F1E1D"/>
    <w:rsid w:val="0011312A"/>
    <w:rsid w:val="00115914"/>
    <w:rsid w:val="00121679"/>
    <w:rsid w:val="001356D3"/>
    <w:rsid w:val="0016741D"/>
    <w:rsid w:val="00177BA6"/>
    <w:rsid w:val="001E48D6"/>
    <w:rsid w:val="001F0829"/>
    <w:rsid w:val="00204EDF"/>
    <w:rsid w:val="00222F32"/>
    <w:rsid w:val="00233E0B"/>
    <w:rsid w:val="0023702B"/>
    <w:rsid w:val="00243789"/>
    <w:rsid w:val="00247F51"/>
    <w:rsid w:val="00274906"/>
    <w:rsid w:val="002A4DCA"/>
    <w:rsid w:val="002B7198"/>
    <w:rsid w:val="002C4C02"/>
    <w:rsid w:val="002D1751"/>
    <w:rsid w:val="002E6DD6"/>
    <w:rsid w:val="002F5205"/>
    <w:rsid w:val="00320498"/>
    <w:rsid w:val="00321B58"/>
    <w:rsid w:val="00391221"/>
    <w:rsid w:val="003C3B4E"/>
    <w:rsid w:val="003F72C8"/>
    <w:rsid w:val="00413A20"/>
    <w:rsid w:val="004401EB"/>
    <w:rsid w:val="00451773"/>
    <w:rsid w:val="00451BE8"/>
    <w:rsid w:val="0046233A"/>
    <w:rsid w:val="004858E7"/>
    <w:rsid w:val="00497E1E"/>
    <w:rsid w:val="004B2CC5"/>
    <w:rsid w:val="004B3900"/>
    <w:rsid w:val="004B6721"/>
    <w:rsid w:val="004E3193"/>
    <w:rsid w:val="004E6875"/>
    <w:rsid w:val="004F22B3"/>
    <w:rsid w:val="004F7AE4"/>
    <w:rsid w:val="005004F8"/>
    <w:rsid w:val="00500E80"/>
    <w:rsid w:val="005157E1"/>
    <w:rsid w:val="005170AD"/>
    <w:rsid w:val="00553A8E"/>
    <w:rsid w:val="0057032A"/>
    <w:rsid w:val="00582219"/>
    <w:rsid w:val="00584CBD"/>
    <w:rsid w:val="005A0AE4"/>
    <w:rsid w:val="005B66C2"/>
    <w:rsid w:val="005D4DA3"/>
    <w:rsid w:val="005E1E6F"/>
    <w:rsid w:val="005E30DB"/>
    <w:rsid w:val="005F6078"/>
    <w:rsid w:val="0060648D"/>
    <w:rsid w:val="00610864"/>
    <w:rsid w:val="006227F1"/>
    <w:rsid w:val="00637DFD"/>
    <w:rsid w:val="00651327"/>
    <w:rsid w:val="006737C8"/>
    <w:rsid w:val="00683E82"/>
    <w:rsid w:val="006B7746"/>
    <w:rsid w:val="006D4495"/>
    <w:rsid w:val="006E0D5E"/>
    <w:rsid w:val="006F7484"/>
    <w:rsid w:val="00754AC6"/>
    <w:rsid w:val="00797923"/>
    <w:rsid w:val="007A0890"/>
    <w:rsid w:val="007B1C1A"/>
    <w:rsid w:val="007B1D7A"/>
    <w:rsid w:val="007B30B7"/>
    <w:rsid w:val="007C21E9"/>
    <w:rsid w:val="007C2D64"/>
    <w:rsid w:val="007E4966"/>
    <w:rsid w:val="007E6D98"/>
    <w:rsid w:val="007E7A03"/>
    <w:rsid w:val="00813874"/>
    <w:rsid w:val="00827A59"/>
    <w:rsid w:val="008723A6"/>
    <w:rsid w:val="0087566C"/>
    <w:rsid w:val="00886C06"/>
    <w:rsid w:val="008A0CD7"/>
    <w:rsid w:val="008B6482"/>
    <w:rsid w:val="008D5687"/>
    <w:rsid w:val="008D7633"/>
    <w:rsid w:val="008E200F"/>
    <w:rsid w:val="00907D6A"/>
    <w:rsid w:val="009831E1"/>
    <w:rsid w:val="00994EB1"/>
    <w:rsid w:val="009A1EAC"/>
    <w:rsid w:val="009D4D1A"/>
    <w:rsid w:val="00A06E55"/>
    <w:rsid w:val="00A0778E"/>
    <w:rsid w:val="00A12C23"/>
    <w:rsid w:val="00A26903"/>
    <w:rsid w:val="00A5079A"/>
    <w:rsid w:val="00A84C70"/>
    <w:rsid w:val="00A920FE"/>
    <w:rsid w:val="00A93406"/>
    <w:rsid w:val="00A93AA1"/>
    <w:rsid w:val="00A968AF"/>
    <w:rsid w:val="00AD2D63"/>
    <w:rsid w:val="00B43486"/>
    <w:rsid w:val="00B51400"/>
    <w:rsid w:val="00B534B3"/>
    <w:rsid w:val="00B65D0D"/>
    <w:rsid w:val="00BB1F49"/>
    <w:rsid w:val="00BE6640"/>
    <w:rsid w:val="00BF04EE"/>
    <w:rsid w:val="00C37905"/>
    <w:rsid w:val="00C37B52"/>
    <w:rsid w:val="00C82B6C"/>
    <w:rsid w:val="00C900FA"/>
    <w:rsid w:val="00CA2EF3"/>
    <w:rsid w:val="00CD4253"/>
    <w:rsid w:val="00CD5044"/>
    <w:rsid w:val="00D05CE1"/>
    <w:rsid w:val="00D135C9"/>
    <w:rsid w:val="00D225E7"/>
    <w:rsid w:val="00D37D88"/>
    <w:rsid w:val="00D63C04"/>
    <w:rsid w:val="00DA4A9A"/>
    <w:rsid w:val="00DF61A2"/>
    <w:rsid w:val="00E43AF9"/>
    <w:rsid w:val="00E64B3B"/>
    <w:rsid w:val="00E85015"/>
    <w:rsid w:val="00E868F0"/>
    <w:rsid w:val="00E94E5F"/>
    <w:rsid w:val="00EB0D45"/>
    <w:rsid w:val="00EB5726"/>
    <w:rsid w:val="00F1029D"/>
    <w:rsid w:val="00F151DB"/>
    <w:rsid w:val="00F240F2"/>
    <w:rsid w:val="00F55BD6"/>
    <w:rsid w:val="00F61BEB"/>
    <w:rsid w:val="00F66195"/>
    <w:rsid w:val="00F76586"/>
    <w:rsid w:val="00F8048A"/>
    <w:rsid w:val="00F8759C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2021-10-06T14:50:00Z</dcterms:created>
  <dcterms:modified xsi:type="dcterms:W3CDTF">2021-10-31T19:00:00Z</dcterms:modified>
</cp:coreProperties>
</file>